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2A52" w14:textId="56BD0F1F" w:rsidR="00BF20F9" w:rsidRPr="00BF20F9" w:rsidRDefault="00BF20F9" w:rsidP="00BF20F9">
      <w:pPr>
        <w:spacing w:after="0" w:line="240" w:lineRule="auto"/>
        <w:jc w:val="right"/>
        <w:rPr>
          <w:rFonts w:ascii="Century Gothic" w:eastAsia="Times New Roman" w:hAnsi="Century Gothic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BF20F9">
        <w:rPr>
          <w:rFonts w:ascii="Century Gothic" w:eastAsia="Times New Roman" w:hAnsi="Century Gothic" w:cs="Arial"/>
          <w:b/>
          <w:bCs/>
          <w:kern w:val="0"/>
          <w:sz w:val="20"/>
          <w:szCs w:val="20"/>
          <w:lang w:eastAsia="pl-PL"/>
          <w14:ligatures w14:val="none"/>
        </w:rPr>
        <w:t xml:space="preserve">ZAŁĄCZNIK NR </w:t>
      </w:r>
      <w:r>
        <w:rPr>
          <w:rFonts w:ascii="Century Gothic" w:eastAsia="Times New Roman" w:hAnsi="Century Gothic" w:cs="Arial"/>
          <w:b/>
          <w:bCs/>
          <w:kern w:val="0"/>
          <w:sz w:val="20"/>
          <w:szCs w:val="20"/>
          <w:lang w:eastAsia="pl-PL"/>
          <w14:ligatures w14:val="none"/>
        </w:rPr>
        <w:t>13</w:t>
      </w:r>
    </w:p>
    <w:p w14:paraId="351A9D64" w14:textId="77777777" w:rsidR="00BF20F9" w:rsidRDefault="00BF20F9" w:rsidP="00A749AF">
      <w:pPr>
        <w:spacing w:after="0" w:line="240" w:lineRule="auto"/>
        <w:rPr>
          <w:rFonts w:ascii="Century Gothic" w:eastAsia="Times New Roman" w:hAnsi="Century Gothic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6C45A273" w14:textId="43D7490F" w:rsidR="00A749AF" w:rsidRPr="00A749AF" w:rsidRDefault="00A749AF" w:rsidP="00A749AF">
      <w:pPr>
        <w:spacing w:after="0" w:line="240" w:lineRule="auto"/>
        <w:rPr>
          <w:rFonts w:ascii="Century Gothic" w:eastAsia="Calibri" w:hAnsi="Century Gothic" w:cs="Times New Roman"/>
          <w:b/>
          <w:bCs/>
          <w:color w:val="538135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Arial"/>
          <w:b/>
          <w:bCs/>
          <w:kern w:val="0"/>
          <w:sz w:val="20"/>
          <w:szCs w:val="20"/>
          <w:lang w:eastAsia="pl-PL"/>
          <w14:ligatures w14:val="none"/>
        </w:rPr>
        <w:t>Zasady ochrony informacji niejawnych GAZ-SYSTEMI o klauzuli „zastrzeżone”</w:t>
      </w:r>
      <w:r w:rsidRPr="00A749AF" w:rsidDel="005F6F6D">
        <w:rPr>
          <w:rFonts w:ascii="Century Gothic" w:eastAsia="Times New Roman" w:hAnsi="Century Gothic" w:cs="Arial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</w:p>
    <w:p w14:paraId="467617ED" w14:textId="77777777" w:rsidR="00A749AF" w:rsidRPr="00A749AF" w:rsidRDefault="00A749AF" w:rsidP="00A749AF">
      <w:pPr>
        <w:spacing w:after="0" w:line="240" w:lineRule="auto"/>
        <w:jc w:val="center"/>
        <w:rPr>
          <w:rFonts w:ascii="Century Gothic" w:eastAsia="Calibri" w:hAnsi="Century Gothic" w:cs="Times New Roman"/>
          <w:b/>
          <w:color w:val="538135"/>
          <w:kern w:val="0"/>
          <w:sz w:val="20"/>
          <w:szCs w:val="20"/>
          <w:highlight w:val="green"/>
          <w:lang w:eastAsia="pl-PL"/>
          <w14:ligatures w14:val="none"/>
        </w:rPr>
      </w:pPr>
    </w:p>
    <w:p w14:paraId="3B80CC92" w14:textId="77777777" w:rsidR="00A749AF" w:rsidRPr="00A749AF" w:rsidRDefault="00A749AF" w:rsidP="00A749AF">
      <w:pPr>
        <w:spacing w:after="0" w:line="240" w:lineRule="auto"/>
        <w:jc w:val="center"/>
        <w:rPr>
          <w:rFonts w:ascii="Century Gothic" w:eastAsia="Calibri" w:hAnsi="Century Gothic" w:cs="Times New Roman"/>
          <w:b/>
          <w:kern w:val="0"/>
          <w:sz w:val="20"/>
          <w:szCs w:val="20"/>
          <w:highlight w:val="green"/>
          <w:lang w:eastAsia="pl-PL"/>
          <w14:ligatures w14:val="none"/>
        </w:rPr>
      </w:pPr>
    </w:p>
    <w:p w14:paraId="5734BEFA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 ramach wykonywania niniejszej Umowy Zamawiający przewiduje możliwość udostępnienia Wykonawcy informacji niejawnych o klauzuli „ZASTRZEŻONE” w rozumieniu ustawy z dnia 5 sierpnia 2010 r. o ochronie informacji niejawnych, zwanej dalej „Ustawą o ochronie informacji niejawnych”.</w:t>
      </w:r>
    </w:p>
    <w:p w14:paraId="1D8F50AB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 związku z treścią ust. 1 Wykonawca zobowiązuje się, że wszystkie osoby uprawnione, które będą przetwarzały informacje niejawne, będą posiadały upoważnienia do przetwarzania informacji niejawnych o klauzuli „ZASTRZEŻONE” lub poświadczenie bezpieczeństwa o wyższej klauzuli tajności oraz aktualne zaświadczenia o odbyciu szkolenia w zakresie ochrony informacji niejawnych w rozumieniu przepisów Ustawy o ochronie informacji niejawnych.</w:t>
      </w:r>
    </w:p>
    <w:p w14:paraId="1E166D6A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Przetwarzanie informacji niejawnych będzie odbywało się zgodnie z zasadami określonymi w Ustawie o ochronie informacji niejawnych oraz rozporządzeniami wykonawczymi do Ustawy o ochronie informacji niejawnych, a także bieżącymi wytycznymi przekazywanymi przez Pełnomocnika ds. Ochrony Informacji Niejawnych po stronie Zamawiającego. </w:t>
      </w:r>
    </w:p>
    <w:p w14:paraId="5D704550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 xml:space="preserve">Wykonawca przed uzyskaniem dostępu do informacji niejawnych przedłoży Zamawiającemu upoważnienia lub poświadczenia bezpieczeństwa wraz z zaświadczeniami o odbyciu szkoleń w zakresie ochrony informacji niejawnych osób, które będą miały dostęp do informacji niejawnych. </w:t>
      </w:r>
    </w:p>
    <w:p w14:paraId="371FE4AE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 przypadku konieczności przetwarzania informacji niejawnych o klauzuli „ZASTRZEŻONE” w systemie teleinformatycznym Wykonawcy, Wykonawca zobowiązany jest posiadać akredytowany system teleinformatyczny</w:t>
      </w:r>
      <w:r w:rsidRPr="00A749AF"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  <w:t xml:space="preserve"> </w:t>
      </w: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przeznaczony do przetwarzania informacji niejawnych o klauzuli „ZASTRZEŻONE” zgodnie z art. 48 ustawy z dnia 5 sierpnia 2010 r. o ochronie informacji niejawnych oraz stosować się do zasad określonych w Ustawie o ochronie informacji niejawnych, w szczególności będzie spełniać wymogi określone w rozdziale dotyczącym bezpieczeństwa teleinformatycznego przedmiotowej Ustawy o ochronie informacji niejawnych.</w:t>
      </w: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ar-SA"/>
          <w14:ligatures w14:val="none"/>
        </w:rPr>
        <w:t xml:space="preserve"> </w:t>
      </w:r>
    </w:p>
    <w:p w14:paraId="5D94C026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Wykonawca zobowiązuje się do oznaczania materiałów stanowiących informacje niejawne wytworzonych w ramach niniejszej Umowy - zgodnie z rozporządzeniem Prezesa Rady Ministrów z dnia 22 grudnia 2011 r. w sprawie sposobu oznaczania materiałów i umieszczania na nich klauzul tajności.</w:t>
      </w:r>
    </w:p>
    <w:p w14:paraId="2E9C62F3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Wykonawca zobowiązuje się do wysyłania Zamawiającemu materiałów stanowiących informacje niejawne zgodnie z rozporządzeniem Prezesa Rady Ministrów z dnia 7 grudnia 2011 r. w sprawie nadawania, przyjmowania, przewożenia, wydawania i ochrony materiałów zawierających informacje niejawne.</w:t>
      </w:r>
    </w:p>
    <w:p w14:paraId="408CC265" w14:textId="77777777" w:rsidR="00A749AF" w:rsidRPr="00A749AF" w:rsidRDefault="00A749AF" w:rsidP="00A749AF">
      <w:pPr>
        <w:numPr>
          <w:ilvl w:val="0"/>
          <w:numId w:val="1"/>
        </w:numPr>
        <w:spacing w:after="0" w:line="240" w:lineRule="auto"/>
        <w:ind w:left="284" w:right="3" w:hanging="284"/>
        <w:contextualSpacing/>
        <w:jc w:val="both"/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</w:pPr>
      <w:r w:rsidRPr="00A749AF">
        <w:rPr>
          <w:rFonts w:ascii="Century Gothic" w:eastAsia="Times New Roman" w:hAnsi="Century Gothic" w:cs="Times New Roman"/>
          <w:kern w:val="0"/>
          <w:sz w:val="20"/>
          <w:szCs w:val="20"/>
          <w:lang w:eastAsia="pl-PL"/>
          <w14:ligatures w14:val="none"/>
        </w:rPr>
        <w:t>Dokumenty niejawne wykonane przez Wykonawcę w związku z realizacją umowy będą podlegały ochronie do czasu kiedy Zamawiający wyrazi zgodę na obniżenie lub zniesienie klauzuli.</w:t>
      </w:r>
    </w:p>
    <w:p w14:paraId="4610A550" w14:textId="77777777" w:rsidR="00390BCD" w:rsidRDefault="00390BCD"/>
    <w:sectPr w:rsidR="00390B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348153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9AF"/>
    <w:rsid w:val="001D6341"/>
    <w:rsid w:val="00390BCD"/>
    <w:rsid w:val="003E5084"/>
    <w:rsid w:val="00542812"/>
    <w:rsid w:val="009F7D33"/>
    <w:rsid w:val="00A749AF"/>
    <w:rsid w:val="00BF08AE"/>
    <w:rsid w:val="00BF20F9"/>
    <w:rsid w:val="00DA34EE"/>
    <w:rsid w:val="00EC15E4"/>
    <w:rsid w:val="00EE04CC"/>
    <w:rsid w:val="00F26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74410"/>
  <w15:chartTrackingRefBased/>
  <w15:docId w15:val="{5A932F9D-0368-418F-B73B-EE9F7F249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749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749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749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49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749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749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749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749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749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749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749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749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49A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749A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749A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749A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749A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749A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749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749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749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749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749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749A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749A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749A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749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749A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749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394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Sidor</dc:creator>
  <cp:keywords/>
  <dc:description/>
  <cp:lastModifiedBy>Miczewski Robert</cp:lastModifiedBy>
  <cp:revision>3</cp:revision>
  <dcterms:created xsi:type="dcterms:W3CDTF">2025-03-11T11:26:00Z</dcterms:created>
  <dcterms:modified xsi:type="dcterms:W3CDTF">2025-10-28T19:50:00Z</dcterms:modified>
</cp:coreProperties>
</file>